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A28F7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5BB8A985" w:rsidR="00AF01E2" w:rsidRPr="000A28F7" w:rsidRDefault="0084100D" w:rsidP="002735C6">
            <w:pPr>
              <w:spacing w:line="240" w:lineRule="auto"/>
              <w:jc w:val="center"/>
              <w:rPr>
                <w:i/>
                <w:sz w:val="18"/>
              </w:rPr>
            </w:pPr>
            <w:r w:rsidRPr="000A28F7">
              <w:rPr>
                <w:b/>
                <w:color w:val="FFFFFF"/>
                <w:sz w:val="18"/>
                <w:lang w:bidi="x-none"/>
              </w:rPr>
              <w:t>BEDRIJFSLEIDER I</w:t>
            </w:r>
            <w:r w:rsidR="00DD0D85" w:rsidRPr="000A28F7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0A28F7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0A28F7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A28F7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0FA713C5" w:rsidR="00CC6205" w:rsidRPr="000A28F7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0A28F7">
              <w:rPr>
                <w:color w:val="auto"/>
                <w:sz w:val="16"/>
                <w:lang w:bidi="x-none"/>
              </w:rPr>
              <w:t xml:space="preserve">De </w:t>
            </w:r>
            <w:r w:rsidR="003F5BBB" w:rsidRPr="000A28F7">
              <w:rPr>
                <w:color w:val="auto"/>
                <w:sz w:val="16"/>
                <w:lang w:bidi="x-none"/>
              </w:rPr>
              <w:t>bedrijfsleider I</w:t>
            </w:r>
            <w:r w:rsidRPr="000A28F7">
              <w:rPr>
                <w:color w:val="auto"/>
                <w:sz w:val="16"/>
                <w:lang w:bidi="x-none"/>
              </w:rPr>
              <w:t xml:space="preserve"> </w:t>
            </w:r>
            <w:r w:rsidR="00DD0D85" w:rsidRPr="000A28F7">
              <w:rPr>
                <w:color w:val="auto"/>
                <w:sz w:val="16"/>
                <w:lang w:bidi="x-none"/>
              </w:rPr>
              <w:t xml:space="preserve">vollegrond </w:t>
            </w:r>
            <w:r w:rsidR="00A96978" w:rsidRPr="000A28F7">
              <w:rPr>
                <w:color w:val="auto"/>
                <w:sz w:val="16"/>
                <w:lang w:bidi="x-none"/>
              </w:rPr>
              <w:t>komt voor</w:t>
            </w:r>
            <w:r w:rsidRPr="000A28F7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0A28F7">
              <w:rPr>
                <w:color w:val="auto"/>
                <w:sz w:val="16"/>
                <w:lang w:bidi="x-none"/>
              </w:rPr>
              <w:t>alle soorten van</w:t>
            </w:r>
            <w:r w:rsidRPr="000A28F7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7306E5" w:rsidRPr="000A28F7">
              <w:rPr>
                <w:color w:val="auto"/>
                <w:sz w:val="16"/>
                <w:lang w:bidi="x-none"/>
              </w:rPr>
              <w:t>vollegrond</w:t>
            </w:r>
            <w:r w:rsidR="00753025" w:rsidRPr="000A28F7">
              <w:rPr>
                <w:color w:val="auto"/>
                <w:sz w:val="16"/>
                <w:lang w:bidi="x-none"/>
              </w:rPr>
              <w:t>groente</w:t>
            </w:r>
            <w:r w:rsidR="0094090E" w:rsidRPr="000A28F7">
              <w:rPr>
                <w:color w:val="auto"/>
                <w:sz w:val="16"/>
                <w:lang w:bidi="x-none"/>
              </w:rPr>
              <w:t>gewassen</w:t>
            </w:r>
            <w:r w:rsidRPr="000A28F7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0A28F7">
              <w:rPr>
                <w:color w:val="auto"/>
                <w:sz w:val="16"/>
                <w:lang w:bidi="x-none"/>
              </w:rPr>
              <w:t xml:space="preserve">verbouwd </w:t>
            </w:r>
            <w:r w:rsidRPr="000A28F7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0A28F7">
              <w:rPr>
                <w:color w:val="auto"/>
                <w:sz w:val="16"/>
                <w:lang w:bidi="x-none"/>
              </w:rPr>
              <w:t>telen</w:t>
            </w:r>
            <w:r w:rsidRPr="000A28F7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0A28F7">
              <w:rPr>
                <w:color w:val="auto"/>
                <w:sz w:val="16"/>
                <w:lang w:bidi="x-none"/>
              </w:rPr>
              <w:t>oogsten</w:t>
            </w:r>
            <w:r w:rsidRPr="000A28F7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0A28F7">
              <w:rPr>
                <w:color w:val="auto"/>
                <w:sz w:val="16"/>
                <w:lang w:bidi="x-none"/>
              </w:rPr>
              <w:t>en/of verwerken</w:t>
            </w:r>
            <w:r w:rsidRPr="000A28F7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0A28F7">
              <w:rPr>
                <w:color w:val="auto"/>
                <w:sz w:val="16"/>
                <w:lang w:bidi="x-none"/>
              </w:rPr>
              <w:t>plantaardige</w:t>
            </w:r>
            <w:r w:rsidRPr="000A28F7">
              <w:rPr>
                <w:color w:val="auto"/>
                <w:sz w:val="16"/>
                <w:lang w:bidi="x-none"/>
              </w:rPr>
              <w:t xml:space="preserve"> producten</w:t>
            </w:r>
            <w:r w:rsidR="00753025" w:rsidRPr="000A28F7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0A28F7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0A28F7">
              <w:rPr>
                <w:color w:val="auto"/>
                <w:sz w:val="16"/>
                <w:lang w:bidi="x-none"/>
              </w:rPr>
              <w:t>en/</w:t>
            </w:r>
            <w:r w:rsidR="00554BEA" w:rsidRPr="000A28F7">
              <w:rPr>
                <w:color w:val="auto"/>
                <w:sz w:val="16"/>
                <w:lang w:bidi="x-none"/>
              </w:rPr>
              <w:t>of kasomgeving</w:t>
            </w:r>
            <w:r w:rsidRPr="000A28F7">
              <w:rPr>
                <w:color w:val="auto"/>
                <w:sz w:val="16"/>
                <w:lang w:bidi="x-none"/>
              </w:rPr>
              <w:t>.</w:t>
            </w:r>
            <w:r w:rsidR="00511075" w:rsidRPr="000A28F7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1BF52112" w:rsidR="00CC6205" w:rsidRPr="000A28F7" w:rsidRDefault="00CC6205" w:rsidP="00BA616E">
            <w:pPr>
              <w:spacing w:line="240" w:lineRule="auto"/>
              <w:ind w:left="29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  <w:lang w:bidi="x-none"/>
              </w:rPr>
              <w:t xml:space="preserve">De functiehouder is eindverantwoordelijk voor het realiseren van de output en de daarvoor benodigde mensen en middelen van zijn/haar toegewezen bedrijf, locatie, organisatieonderdeel. Dit heeft betrekking op het primaire proces, waarbij ondersteunende diensten niet onder verantwoordelijkheid van de functiehouder vallen. De </w:t>
            </w:r>
            <w:r w:rsidRPr="000A28F7">
              <w:rPr>
                <w:color w:val="auto"/>
                <w:sz w:val="16"/>
              </w:rPr>
              <w:t xml:space="preserve">functiehouder adviseert over het uit te voeren jaarplan. </w:t>
            </w:r>
            <w:r w:rsidRPr="000A28F7">
              <w:rPr>
                <w:color w:val="auto"/>
                <w:sz w:val="16"/>
                <w:lang w:bidi="x-none"/>
              </w:rPr>
              <w:t xml:space="preserve">De functiehouder is primair verantwoordelijk voor opbrengsten en redeneert vanuit beschikbare </w:t>
            </w:r>
            <w:proofErr w:type="spellStart"/>
            <w:r w:rsidRPr="000A28F7">
              <w:rPr>
                <w:color w:val="auto"/>
                <w:sz w:val="16"/>
                <w:lang w:bidi="x-none"/>
              </w:rPr>
              <w:t>budgetten</w:t>
            </w:r>
            <w:proofErr w:type="spellEnd"/>
            <w:r w:rsidRPr="000A28F7">
              <w:rPr>
                <w:color w:val="auto"/>
                <w:sz w:val="16"/>
                <w:lang w:bidi="x-none"/>
              </w:rPr>
              <w:t xml:space="preserve">. </w:t>
            </w:r>
            <w:r w:rsidRPr="000A28F7">
              <w:rPr>
                <w:color w:val="auto"/>
                <w:sz w:val="16"/>
              </w:rPr>
              <w:t>Focus voor de functiehouder i</w:t>
            </w:r>
            <w:r w:rsidR="00807204">
              <w:rPr>
                <w:color w:val="auto"/>
                <w:sz w:val="16"/>
              </w:rPr>
              <w:t>s in de eerste plaats het zeker</w:t>
            </w:r>
            <w:r w:rsidRPr="000A28F7">
              <w:rPr>
                <w:color w:val="auto"/>
                <w:sz w:val="16"/>
              </w:rPr>
              <w:t>stellen van de randvo</w:t>
            </w:r>
            <w:r w:rsidR="00B839CE" w:rsidRPr="000A28F7">
              <w:rPr>
                <w:color w:val="auto"/>
                <w:sz w:val="16"/>
              </w:rPr>
              <w:t>orwaarden waarbinnen de leiding</w:t>
            </w:r>
            <w:r w:rsidRPr="000A28F7">
              <w:rPr>
                <w:color w:val="auto"/>
                <w:sz w:val="16"/>
              </w:rPr>
              <w:t>gevenden/medewerkers de planning en de gevraagde kwaliteit kunnen realiseren; daartoe dient de functiehouder een korte tot middellange termijn focus te hebben (lopend jaar</w:t>
            </w:r>
            <w:r w:rsidR="00BB5AB4" w:rsidRPr="000A28F7">
              <w:rPr>
                <w:color w:val="auto"/>
                <w:sz w:val="16"/>
              </w:rPr>
              <w:t xml:space="preserve"> c.q. teelt</w:t>
            </w:r>
            <w:r w:rsidR="00C65896" w:rsidRPr="000A28F7">
              <w:rPr>
                <w:color w:val="auto"/>
                <w:sz w:val="16"/>
              </w:rPr>
              <w:t>cyclus</w:t>
            </w:r>
            <w:r w:rsidRPr="000A28F7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0A28F7">
              <w:rPr>
                <w:color w:val="auto"/>
                <w:sz w:val="16"/>
              </w:rPr>
              <w:t xml:space="preserve">het optimaliseren van de bestaande bedrijfsvoering, zoals </w:t>
            </w:r>
            <w:r w:rsidRPr="000A28F7">
              <w:rPr>
                <w:color w:val="auto"/>
                <w:sz w:val="16"/>
              </w:rPr>
              <w:t>een continue verbetering van efficiency, realisatie van kwaliteitsnormen en leveringsbetrouwbaarheid.</w:t>
            </w:r>
          </w:p>
        </w:tc>
      </w:tr>
      <w:tr w:rsidR="00BA56DD" w:rsidRPr="000A28F7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A28F7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A28F7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0A28F7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0A28F7">
              <w:rPr>
                <w:color w:val="auto"/>
                <w:sz w:val="16"/>
                <w:lang w:bidi="x-none"/>
              </w:rPr>
              <w:t>Direct leidinggevende</w:t>
            </w:r>
            <w:r w:rsidRPr="000A28F7">
              <w:rPr>
                <w:color w:val="auto"/>
                <w:sz w:val="16"/>
                <w:lang w:bidi="x-none"/>
              </w:rPr>
              <w:tab/>
              <w:t>:</w:t>
            </w:r>
            <w:r w:rsidRPr="000A28F7">
              <w:rPr>
                <w:color w:val="auto"/>
                <w:sz w:val="16"/>
                <w:lang w:bidi="x-none"/>
              </w:rPr>
              <w:tab/>
            </w:r>
            <w:r w:rsidR="00BC422B" w:rsidRPr="000A28F7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0A28F7">
              <w:rPr>
                <w:color w:val="auto"/>
                <w:sz w:val="16"/>
                <w:lang w:bidi="x-none"/>
              </w:rPr>
              <w:t>.</w:t>
            </w:r>
          </w:p>
          <w:p w14:paraId="7D5C4517" w14:textId="1B8EB508" w:rsidR="00BA56DD" w:rsidRPr="000A28F7" w:rsidRDefault="00BA56DD" w:rsidP="003F5BB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0A28F7">
              <w:rPr>
                <w:color w:val="auto"/>
                <w:sz w:val="16"/>
                <w:lang w:bidi="x-none"/>
              </w:rPr>
              <w:t>Geeft leiding aan</w:t>
            </w:r>
            <w:r w:rsidRPr="000A28F7">
              <w:rPr>
                <w:color w:val="auto"/>
                <w:sz w:val="16"/>
                <w:lang w:bidi="x-none"/>
              </w:rPr>
              <w:tab/>
              <w:t>:</w:t>
            </w:r>
            <w:r w:rsidRPr="000A28F7">
              <w:rPr>
                <w:color w:val="auto"/>
                <w:sz w:val="16"/>
                <w:lang w:bidi="x-none"/>
              </w:rPr>
              <w:tab/>
            </w:r>
            <w:r w:rsidR="003F5BBB" w:rsidRPr="000A28F7">
              <w:rPr>
                <w:color w:val="auto"/>
                <w:sz w:val="16"/>
                <w:lang w:bidi="x-none"/>
              </w:rPr>
              <w:t>30 tot 5</w:t>
            </w:r>
            <w:r w:rsidR="006A2CE1" w:rsidRPr="000A28F7">
              <w:rPr>
                <w:color w:val="auto"/>
                <w:sz w:val="16"/>
                <w:lang w:bidi="x-none"/>
              </w:rPr>
              <w:t>0 medewerkers</w:t>
            </w:r>
            <w:r w:rsidR="00FF566F" w:rsidRPr="000A28F7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A28F7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A28F7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A28F7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A28F7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A28F7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A28F7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A28F7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6205" w:rsidRPr="000A28F7" w14:paraId="18320DE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EF4F28" w14:textId="13E6F5DA" w:rsidR="00CC6205" w:rsidRPr="000A28F7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1.</w:t>
            </w:r>
            <w:r w:rsidRPr="000A28F7">
              <w:rPr>
                <w:color w:val="auto"/>
                <w:sz w:val="16"/>
              </w:rPr>
              <w:tab/>
              <w:t>Realisatie output.</w:t>
            </w:r>
          </w:p>
          <w:p w14:paraId="1D62D692" w14:textId="77777777" w:rsidR="00CC6205" w:rsidRPr="000A28F7" w:rsidRDefault="00CC6205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DBCB0FB" w14:textId="6E95A534" w:rsidR="00CC6205" w:rsidRPr="000A28F7" w:rsidRDefault="00CC6205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adviseren over het uit te voeren jaarplan;</w:t>
            </w:r>
          </w:p>
          <w:p w14:paraId="7ADE8C55" w14:textId="77777777" w:rsidR="00CC6205" w:rsidRPr="000A28F7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46BAA286" w14:textId="77777777" w:rsidR="00CC6205" w:rsidRPr="000A28F7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00F9BC16" w14:textId="77777777" w:rsidR="00CC6205" w:rsidRPr="000A28F7" w:rsidRDefault="00CC6205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73CE68D7" w14:textId="07B13D76" w:rsidR="00CC6205" w:rsidRPr="000A28F7" w:rsidRDefault="00CC6205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8F8474" w14:textId="77777777" w:rsidR="00CC6205" w:rsidRPr="000A28F7" w:rsidRDefault="00CC6205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conform jaarplan;</w:t>
            </w:r>
          </w:p>
          <w:p w14:paraId="5DD9180A" w14:textId="77777777" w:rsidR="00CC6205" w:rsidRPr="000A28F7" w:rsidRDefault="00CC6205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conform kwaliteitsnormen;</w:t>
            </w:r>
          </w:p>
          <w:p w14:paraId="6C7C1B23" w14:textId="77777777" w:rsidR="00CC6205" w:rsidRPr="000A28F7" w:rsidRDefault="00CC6205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5098FD16" w14:textId="73BAC27E" w:rsidR="00CC6205" w:rsidRPr="000A28F7" w:rsidRDefault="00CC6205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ED6909" w:rsidRPr="000A28F7" w14:paraId="040CC5A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6F0BB9" w14:textId="6463FE08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2.</w:t>
            </w:r>
            <w:r w:rsidRPr="000A28F7">
              <w:rPr>
                <w:color w:val="auto"/>
                <w:sz w:val="16"/>
              </w:rPr>
              <w:tab/>
              <w:t>Optimalisatie van bedrijfsvoering.</w:t>
            </w:r>
          </w:p>
          <w:p w14:paraId="24FEC1F7" w14:textId="77777777" w:rsidR="00ED6909" w:rsidRPr="000A28F7" w:rsidRDefault="00ED6909" w:rsidP="0096405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216C83" w14:textId="77777777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334C88D3" w14:textId="7169E244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signaleren van verbetermogelijkheden, beoordelen van verbetervoor</w:t>
            </w:r>
            <w:r w:rsidR="00B839CE" w:rsidRPr="000A28F7">
              <w:rPr>
                <w:color w:val="auto"/>
                <w:sz w:val="16"/>
              </w:rPr>
              <w:t>stellen van de leidinggevenden/</w:t>
            </w:r>
            <w:r w:rsidRPr="000A28F7">
              <w:rPr>
                <w:color w:val="auto"/>
                <w:sz w:val="16"/>
              </w:rPr>
              <w:t>mede</w:t>
            </w:r>
            <w:r w:rsidR="00B839CE" w:rsidRPr="000A28F7">
              <w:rPr>
                <w:color w:val="auto"/>
                <w:sz w:val="16"/>
              </w:rPr>
              <w:softHyphen/>
            </w:r>
            <w:r w:rsidRPr="000A28F7">
              <w:rPr>
                <w:color w:val="auto"/>
                <w:sz w:val="16"/>
              </w:rPr>
              <w:t>werkers;</w:t>
            </w:r>
          </w:p>
          <w:p w14:paraId="5C63D6D4" w14:textId="1A29D913" w:rsidR="00ED6909" w:rsidRPr="000A28F7" w:rsidRDefault="00ED6909" w:rsidP="00F51F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doorvoeren van verbeteringen, binnen het daarvoor gegeven mandaat.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279803F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verbetering van efficiency;</w:t>
            </w:r>
          </w:p>
          <w:p w14:paraId="1A39E2A1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verbetering van kwaliteits</w:t>
            </w:r>
            <w:r w:rsidRPr="000A28F7">
              <w:rPr>
                <w:color w:val="auto"/>
                <w:sz w:val="16"/>
              </w:rPr>
              <w:softHyphen/>
              <w:t>beheersing;</w:t>
            </w:r>
          </w:p>
          <w:p w14:paraId="7D356265" w14:textId="39B809FD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0A28F7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3.</w:t>
            </w:r>
            <w:r w:rsidRPr="000A28F7">
              <w:rPr>
                <w:color w:val="auto"/>
                <w:sz w:val="16"/>
              </w:rPr>
              <w:tab/>
              <w:t>Personeels</w:t>
            </w:r>
            <w:r w:rsidRPr="000A28F7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0A28F7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0A28F7">
              <w:rPr>
                <w:rFonts w:eastAsia="Times New Roman"/>
                <w:sz w:val="16"/>
              </w:rPr>
              <w:t xml:space="preserve">- </w:t>
            </w:r>
            <w:r w:rsidRPr="000A28F7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0A28F7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0A28F7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0A28F7">
              <w:rPr>
                <w:rFonts w:eastAsia="Times New Roman"/>
                <w:sz w:val="16"/>
              </w:rPr>
              <w:t>-</w:t>
            </w:r>
            <w:r w:rsidRPr="000A28F7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061A3089" w:rsidR="00ED6909" w:rsidRPr="000A28F7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0A28F7">
              <w:rPr>
                <w:rFonts w:eastAsia="Times New Roman"/>
                <w:sz w:val="16"/>
              </w:rPr>
              <w:t>-</w:t>
            </w:r>
            <w:r w:rsidRPr="000A28F7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0A28F7">
              <w:rPr>
                <w:rFonts w:eastAsia="Times New Roman"/>
                <w:sz w:val="16"/>
              </w:rPr>
              <w:t>ontwikkel</w:t>
            </w:r>
            <w:r w:rsidR="00B839CE" w:rsidRPr="000A28F7">
              <w:rPr>
                <w:rFonts w:eastAsia="Times New Roman"/>
                <w:sz w:val="16"/>
              </w:rPr>
              <w:softHyphen/>
            </w:r>
            <w:r w:rsidRPr="000A28F7">
              <w:rPr>
                <w:rFonts w:eastAsia="Times New Roman"/>
                <w:sz w:val="16"/>
              </w:rPr>
              <w:t>afspraken</w:t>
            </w:r>
            <w:proofErr w:type="spellEnd"/>
            <w:r w:rsidRPr="000A28F7">
              <w:rPr>
                <w:rFonts w:eastAsia="Times New Roman"/>
                <w:sz w:val="16"/>
              </w:rPr>
              <w:t>;</w:t>
            </w:r>
          </w:p>
          <w:p w14:paraId="12752D51" w14:textId="3A73653C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0A28F7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4.</w:t>
            </w:r>
            <w:r w:rsidRPr="000A28F7">
              <w:rPr>
                <w:color w:val="auto"/>
                <w:sz w:val="16"/>
              </w:rPr>
              <w:tab/>
              <w:t>Beschikbaarheid randvoorwaarden</w:t>
            </w:r>
            <w:r w:rsidR="00C65896" w:rsidRPr="000A28F7">
              <w:rPr>
                <w:color w:val="auto"/>
                <w:sz w:val="16"/>
              </w:rPr>
              <w:t>.</w:t>
            </w:r>
          </w:p>
          <w:p w14:paraId="0239AD73" w14:textId="77777777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E626C1B" w14:textId="77777777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adviseren over raamovereenkomsten met leveranciers en afnemers;</w:t>
            </w:r>
          </w:p>
          <w:p w14:paraId="79BFB4EB" w14:textId="30DA2146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onderhoudskosten binnen begroting;</w:t>
            </w:r>
          </w:p>
          <w:p w14:paraId="280E02D5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ED6909" w:rsidRPr="000A28F7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5.</w:t>
            </w:r>
            <w:r w:rsidRPr="000A28F7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0A28F7">
              <w:rPr>
                <w:color w:val="auto"/>
                <w:sz w:val="16"/>
              </w:rPr>
              <w:t>.</w:t>
            </w:r>
          </w:p>
          <w:p w14:paraId="26A0DC65" w14:textId="77777777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0A28F7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0A28F7">
              <w:rPr>
                <w:rFonts w:eastAsia="Times New Roman"/>
                <w:sz w:val="16"/>
              </w:rPr>
              <w:t>-</w:t>
            </w:r>
            <w:r w:rsidRPr="000A28F7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0A28F7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0A28F7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0A28F7">
              <w:rPr>
                <w:color w:val="auto"/>
                <w:sz w:val="16"/>
              </w:rPr>
              <w:t>periode</w:t>
            </w:r>
            <w:r w:rsidRPr="000A28F7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0A28F7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0A28F7">
              <w:rPr>
                <w:color w:val="auto"/>
                <w:sz w:val="16"/>
              </w:rPr>
              <w:t>verbeter</w:t>
            </w:r>
            <w:r w:rsidRPr="000A28F7">
              <w:rPr>
                <w:color w:val="auto"/>
                <w:sz w:val="16"/>
              </w:rPr>
              <w:softHyphen/>
              <w:t>mogelijkheden</w:t>
            </w:r>
            <w:proofErr w:type="spellEnd"/>
            <w:r w:rsidRPr="000A28F7">
              <w:rPr>
                <w:color w:val="auto"/>
                <w:sz w:val="16"/>
              </w:rPr>
              <w:t>.</w:t>
            </w:r>
          </w:p>
          <w:p w14:paraId="558F2509" w14:textId="77777777" w:rsidR="00ED6909" w:rsidRPr="000A28F7" w:rsidRDefault="00ED6909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</w:p>
        </w:tc>
      </w:tr>
      <w:tr w:rsidR="002D200C" w:rsidRPr="000A28F7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0A28F7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A28F7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0A28F7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3E1E446A" w:rsidR="002D200C" w:rsidRPr="000A28F7" w:rsidRDefault="00BA1362" w:rsidP="00BA1362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</w:r>
            <w:r w:rsidR="00CC6205" w:rsidRPr="000A28F7">
              <w:rPr>
                <w:color w:val="auto"/>
                <w:sz w:val="16"/>
              </w:rPr>
              <w:t>Geen bijzondere</w:t>
            </w:r>
            <w:r w:rsidR="00F3080F" w:rsidRPr="000A28F7">
              <w:rPr>
                <w:color w:val="auto"/>
                <w:sz w:val="16"/>
              </w:rPr>
              <w:t>.</w:t>
            </w:r>
          </w:p>
        </w:tc>
      </w:tr>
      <w:tr w:rsidR="00A93866" w:rsidRPr="000A28F7" w14:paraId="0FA791C5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8DDCA53" w14:textId="77777777" w:rsidR="00A93866" w:rsidRPr="000A28F7" w:rsidRDefault="00A93866" w:rsidP="00A93866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A28F7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A93866" w:rsidRPr="000A28F7" w14:paraId="6EB25792" w14:textId="77777777" w:rsidTr="00A9386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8FEE36" w14:textId="255BF5CB" w:rsidR="00A93866" w:rsidRPr="000A28F7" w:rsidRDefault="00BA1362" w:rsidP="000F0703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0A28F7">
              <w:rPr>
                <w:color w:val="auto"/>
                <w:sz w:val="16"/>
              </w:rPr>
              <w:t>-</w:t>
            </w:r>
            <w:r w:rsidRPr="000A28F7">
              <w:rPr>
                <w:color w:val="auto"/>
                <w:sz w:val="16"/>
              </w:rPr>
              <w:tab/>
            </w:r>
            <w:r w:rsidR="000F0703" w:rsidRPr="000A28F7">
              <w:rPr>
                <w:color w:val="auto"/>
                <w:sz w:val="16"/>
              </w:rPr>
              <w:t>Geen functie in het oude handboek</w:t>
            </w:r>
            <w:r w:rsidR="00280838" w:rsidRPr="000A28F7">
              <w:rPr>
                <w:color w:val="auto"/>
                <w:sz w:val="16"/>
              </w:rPr>
              <w:t>.</w:t>
            </w:r>
          </w:p>
        </w:tc>
      </w:tr>
      <w:tr w:rsidR="003F0C9C" w:rsidRPr="003F0C9C" w14:paraId="2E0268C4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D8D29" w14:textId="77777777" w:rsidR="000A546C" w:rsidRPr="003F0C9C" w:rsidRDefault="000A546C" w:rsidP="00A33C4B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F0C9C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D0982" w14:textId="77777777" w:rsidR="000A546C" w:rsidRPr="003F0C9C" w:rsidRDefault="000A546C" w:rsidP="00A33C4B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3F0C9C">
              <w:rPr>
                <w:color w:val="auto"/>
                <w:sz w:val="16"/>
              </w:rPr>
              <w:t>Functiegroep:</w:t>
            </w:r>
            <w:r w:rsidRPr="003F0C9C">
              <w:rPr>
                <w:color w:val="auto"/>
                <w:sz w:val="16"/>
              </w:rPr>
              <w:tab/>
            </w:r>
            <w:r w:rsidRPr="003F0C9C">
              <w:rPr>
                <w:color w:val="auto"/>
                <w:sz w:val="16"/>
              </w:rPr>
              <w:tab/>
              <w:t>II</w:t>
            </w:r>
          </w:p>
        </w:tc>
      </w:tr>
    </w:tbl>
    <w:p w14:paraId="2D5D7DB9" w14:textId="77777777" w:rsidR="00B122E7" w:rsidRPr="000A28F7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128696B7" w14:textId="77777777" w:rsidR="00BA1362" w:rsidRPr="000A28F7" w:rsidRDefault="00BA136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0509AA9" w14:textId="77777777" w:rsidR="00BA1362" w:rsidRPr="000A28F7" w:rsidRDefault="00BA1362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15A75CC8" w:rsidR="00B122E7" w:rsidRPr="000A28F7" w:rsidRDefault="00B720EC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0A546C">
        <w:rPr>
          <w:color w:val="auto"/>
          <w:sz w:val="16"/>
        </w:rPr>
        <w:t>gn</w:t>
      </w:r>
      <w:proofErr w:type="spellEnd"/>
      <w:r w:rsidR="0002463D">
        <w:rPr>
          <w:color w:val="auto"/>
          <w:sz w:val="16"/>
        </w:rPr>
        <w:t>/</w:t>
      </w:r>
      <w:r w:rsidR="000A546C">
        <w:rPr>
          <w:color w:val="auto"/>
          <w:sz w:val="16"/>
        </w:rPr>
        <w:t>030114</w:t>
      </w:r>
    </w:p>
    <w:p w14:paraId="540FEB63" w14:textId="2712FC6C" w:rsidR="00B839CE" w:rsidRPr="00A10A67" w:rsidRDefault="00B839C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0A28F7">
        <w:rPr>
          <w:color w:val="auto"/>
          <w:sz w:val="16"/>
        </w:rPr>
        <w:t>F131091</w:t>
      </w:r>
    </w:p>
    <w:sectPr w:rsidR="00B839CE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E5114" w14:textId="77777777" w:rsidR="00B81D6C" w:rsidRDefault="00B81D6C" w:rsidP="00A45AF2">
      <w:pPr>
        <w:spacing w:line="240" w:lineRule="auto"/>
      </w:pPr>
      <w:r>
        <w:separator/>
      </w:r>
    </w:p>
  </w:endnote>
  <w:endnote w:type="continuationSeparator" w:id="0">
    <w:p w14:paraId="1AE035B3" w14:textId="77777777" w:rsidR="00B81D6C" w:rsidRDefault="00B81D6C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D439" w14:textId="77777777" w:rsidR="002C4A26" w:rsidRDefault="002C4A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7D5860BC" w:rsidR="0002463D" w:rsidRPr="00FF5B7D" w:rsidRDefault="0002463D" w:rsidP="003F0C9C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VO.06.I - bedrijfsleider I vollegrond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3F0C9C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03BD" w14:textId="77777777" w:rsidR="002C4A26" w:rsidRDefault="002C4A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3D55F" w14:textId="77777777" w:rsidR="00B81D6C" w:rsidRDefault="00B81D6C" w:rsidP="00A45AF2">
      <w:pPr>
        <w:spacing w:line="240" w:lineRule="auto"/>
      </w:pPr>
      <w:r>
        <w:separator/>
      </w:r>
    </w:p>
  </w:footnote>
  <w:footnote w:type="continuationSeparator" w:id="0">
    <w:p w14:paraId="53B3ABAE" w14:textId="77777777" w:rsidR="00B81D6C" w:rsidRDefault="00B81D6C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F49F" w14:textId="77777777" w:rsidR="002C4A26" w:rsidRDefault="002C4A2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4283FD5D" w:rsidR="0002463D" w:rsidRPr="00FF5B7D" w:rsidRDefault="0002463D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VO.06.I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7C341" w14:textId="77777777" w:rsidR="002C4A26" w:rsidRDefault="002C4A2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2463D"/>
    <w:rsid w:val="000307DA"/>
    <w:rsid w:val="0003272B"/>
    <w:rsid w:val="00052B30"/>
    <w:rsid w:val="00053F25"/>
    <w:rsid w:val="00063D00"/>
    <w:rsid w:val="00075365"/>
    <w:rsid w:val="000812AF"/>
    <w:rsid w:val="000A28F7"/>
    <w:rsid w:val="000A546C"/>
    <w:rsid w:val="000B0617"/>
    <w:rsid w:val="000C10F4"/>
    <w:rsid w:val="000C259E"/>
    <w:rsid w:val="000D3B37"/>
    <w:rsid w:val="000D6A86"/>
    <w:rsid w:val="000E279A"/>
    <w:rsid w:val="000E3719"/>
    <w:rsid w:val="000F0703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6191"/>
    <w:rsid w:val="00211A9B"/>
    <w:rsid w:val="00217EE4"/>
    <w:rsid w:val="0023278F"/>
    <w:rsid w:val="002470F6"/>
    <w:rsid w:val="002735C6"/>
    <w:rsid w:val="002802F8"/>
    <w:rsid w:val="00280838"/>
    <w:rsid w:val="002827D2"/>
    <w:rsid w:val="00297841"/>
    <w:rsid w:val="002C4A26"/>
    <w:rsid w:val="002D200C"/>
    <w:rsid w:val="002D2083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8D6"/>
    <w:rsid w:val="003E1D01"/>
    <w:rsid w:val="003E6A20"/>
    <w:rsid w:val="003F0C9C"/>
    <w:rsid w:val="003F5BBB"/>
    <w:rsid w:val="0040048C"/>
    <w:rsid w:val="00400AC3"/>
    <w:rsid w:val="00430698"/>
    <w:rsid w:val="00433C9B"/>
    <w:rsid w:val="004467D4"/>
    <w:rsid w:val="00467A89"/>
    <w:rsid w:val="00485B2C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6904"/>
    <w:rsid w:val="005947BA"/>
    <w:rsid w:val="005979C4"/>
    <w:rsid w:val="005A3980"/>
    <w:rsid w:val="005A6F42"/>
    <w:rsid w:val="005B0766"/>
    <w:rsid w:val="005C0665"/>
    <w:rsid w:val="005C704A"/>
    <w:rsid w:val="005D4867"/>
    <w:rsid w:val="005D4C90"/>
    <w:rsid w:val="005F5843"/>
    <w:rsid w:val="00627D64"/>
    <w:rsid w:val="006657BF"/>
    <w:rsid w:val="006A2CE1"/>
    <w:rsid w:val="006D4D13"/>
    <w:rsid w:val="006F2650"/>
    <w:rsid w:val="006F4BE7"/>
    <w:rsid w:val="007055A1"/>
    <w:rsid w:val="007152C7"/>
    <w:rsid w:val="00715724"/>
    <w:rsid w:val="007306E5"/>
    <w:rsid w:val="00737DCF"/>
    <w:rsid w:val="00753025"/>
    <w:rsid w:val="00794292"/>
    <w:rsid w:val="007E18CB"/>
    <w:rsid w:val="007E32A4"/>
    <w:rsid w:val="00807204"/>
    <w:rsid w:val="0082185D"/>
    <w:rsid w:val="00834FD0"/>
    <w:rsid w:val="0084100D"/>
    <w:rsid w:val="00843E56"/>
    <w:rsid w:val="00844BDA"/>
    <w:rsid w:val="008467C2"/>
    <w:rsid w:val="00867767"/>
    <w:rsid w:val="008771D6"/>
    <w:rsid w:val="00886DD7"/>
    <w:rsid w:val="008A119E"/>
    <w:rsid w:val="008A654B"/>
    <w:rsid w:val="008B24C1"/>
    <w:rsid w:val="00902C69"/>
    <w:rsid w:val="00913BFD"/>
    <w:rsid w:val="00916787"/>
    <w:rsid w:val="00922322"/>
    <w:rsid w:val="00923D84"/>
    <w:rsid w:val="0094090E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81C5B"/>
    <w:rsid w:val="00A830F5"/>
    <w:rsid w:val="00A93866"/>
    <w:rsid w:val="00A96978"/>
    <w:rsid w:val="00AA3AD7"/>
    <w:rsid w:val="00AA3EA9"/>
    <w:rsid w:val="00AB5124"/>
    <w:rsid w:val="00AC29DD"/>
    <w:rsid w:val="00AF01E2"/>
    <w:rsid w:val="00B065BB"/>
    <w:rsid w:val="00B122E7"/>
    <w:rsid w:val="00B53114"/>
    <w:rsid w:val="00B54780"/>
    <w:rsid w:val="00B55E09"/>
    <w:rsid w:val="00B720EC"/>
    <w:rsid w:val="00B72EB6"/>
    <w:rsid w:val="00B81B64"/>
    <w:rsid w:val="00B81D6C"/>
    <w:rsid w:val="00B839CE"/>
    <w:rsid w:val="00B87542"/>
    <w:rsid w:val="00B91D38"/>
    <w:rsid w:val="00B96C62"/>
    <w:rsid w:val="00BA1362"/>
    <w:rsid w:val="00BA56DD"/>
    <w:rsid w:val="00BA616E"/>
    <w:rsid w:val="00BB5AB4"/>
    <w:rsid w:val="00BC422B"/>
    <w:rsid w:val="00BE0D31"/>
    <w:rsid w:val="00BE4B9D"/>
    <w:rsid w:val="00C033D9"/>
    <w:rsid w:val="00C044A3"/>
    <w:rsid w:val="00C057C2"/>
    <w:rsid w:val="00C1508A"/>
    <w:rsid w:val="00C15B90"/>
    <w:rsid w:val="00C30D62"/>
    <w:rsid w:val="00C3218C"/>
    <w:rsid w:val="00C3362A"/>
    <w:rsid w:val="00C40EC7"/>
    <w:rsid w:val="00C5578E"/>
    <w:rsid w:val="00C5727F"/>
    <w:rsid w:val="00C57359"/>
    <w:rsid w:val="00C65896"/>
    <w:rsid w:val="00C74CDA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51347"/>
    <w:rsid w:val="00D537F5"/>
    <w:rsid w:val="00D638D1"/>
    <w:rsid w:val="00D85246"/>
    <w:rsid w:val="00DA29E7"/>
    <w:rsid w:val="00DA2DB9"/>
    <w:rsid w:val="00DB34B2"/>
    <w:rsid w:val="00DD0D85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32C0"/>
    <w:rsid w:val="00E95565"/>
    <w:rsid w:val="00EA22CD"/>
    <w:rsid w:val="00EB5545"/>
    <w:rsid w:val="00EB6567"/>
    <w:rsid w:val="00EC0AF7"/>
    <w:rsid w:val="00EC0D46"/>
    <w:rsid w:val="00EC1781"/>
    <w:rsid w:val="00ED6909"/>
    <w:rsid w:val="00EF32EB"/>
    <w:rsid w:val="00F05AD8"/>
    <w:rsid w:val="00F0682B"/>
    <w:rsid w:val="00F1696F"/>
    <w:rsid w:val="00F3080F"/>
    <w:rsid w:val="00F40792"/>
    <w:rsid w:val="00F468FE"/>
    <w:rsid w:val="00F51F4B"/>
    <w:rsid w:val="00F623A5"/>
    <w:rsid w:val="00F80302"/>
    <w:rsid w:val="00F808C4"/>
    <w:rsid w:val="00F87FCE"/>
    <w:rsid w:val="00F9066E"/>
    <w:rsid w:val="00F934E9"/>
    <w:rsid w:val="00FB24E1"/>
    <w:rsid w:val="00FC3FE4"/>
    <w:rsid w:val="00FC7F6F"/>
    <w:rsid w:val="00FE51F1"/>
    <w:rsid w:val="00FF3E2A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3890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2015-02-03T10:17:00Z</cp:lastPrinted>
  <dcterms:created xsi:type="dcterms:W3CDTF">2015-02-03T10:17:00Z</dcterms:created>
  <dcterms:modified xsi:type="dcterms:W3CDTF">2015-02-03T10:17:00Z</dcterms:modified>
</cp:coreProperties>
</file>